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32" w:rsidRPr="00AB2532" w:rsidRDefault="00AB2532">
      <w:pPr>
        <w:rPr>
          <w:b/>
        </w:rPr>
      </w:pPr>
      <w:r w:rsidRPr="00AB2532">
        <w:rPr>
          <w:b/>
        </w:rPr>
        <w:t>Personel Hareketliliği Hibe Tutarı Hesaplama</w:t>
      </w:r>
    </w:p>
    <w:p w:rsidR="00AB2532" w:rsidRDefault="00AB2532" w:rsidP="00AB2532">
      <w:pPr>
        <w:jc w:val="both"/>
      </w:pPr>
    </w:p>
    <w:p w:rsidR="00AB2532" w:rsidRDefault="00AB2532" w:rsidP="00AB2532">
      <w:pPr>
        <w:jc w:val="both"/>
      </w:pPr>
      <w:r w:rsidRPr="00AB2532">
        <w:rPr>
          <w:b/>
        </w:rPr>
        <w:t>Hesaplama:</w:t>
      </w:r>
      <w:r>
        <w:t xml:space="preserve"> Ders Verme günü x Gidilen Ülkenin günlük hibe miktarı + Gidilen ülke arasındaki KM olarak seyahat mesafesi tutarı Toplam Hibe Tutarıdır. Toplam Hibenin %80’i hareketlilik öncesinde ödenecek, kalan %20’si hareketlilik tamamlandıktan ve hareketlilik sonrası teslim edilmesi gereken belgeler </w:t>
      </w:r>
      <w:proofErr w:type="spellStart"/>
      <w:r>
        <w:t>Erasmus</w:t>
      </w:r>
      <w:proofErr w:type="spellEnd"/>
      <w:r>
        <w:t xml:space="preserve"> Kurum Koordinatörlüğüne teslim edildikten sonra ödenecektir.</w:t>
      </w:r>
    </w:p>
    <w:p w:rsidR="00AB2532" w:rsidRDefault="00AB2532" w:rsidP="00AB2532">
      <w:pPr>
        <w:jc w:val="both"/>
      </w:pPr>
      <w:r w:rsidRPr="00AB2532">
        <w:t>Mesafe hesaplayıcısı aracılığı ile personelin yerleşik olduğu yerden, faaliyet yerine kadar olan iki nokta arasının km değeri tespit edilerek hesaplanmalıdır. Personelin aktarmalı olarak seyahat etmesi, yukarıda belirtilen mesafe hesaplaması ile varılan mesafeyi etkilemez</w:t>
      </w:r>
    </w:p>
    <w:tbl>
      <w:tblPr>
        <w:tblW w:w="9513" w:type="dxa"/>
        <w:tblInd w:w="55" w:type="dxa"/>
        <w:tblCellMar>
          <w:left w:w="70" w:type="dxa"/>
          <w:right w:w="70" w:type="dxa"/>
        </w:tblCellMar>
        <w:tblLook w:val="04A0" w:firstRow="1" w:lastRow="0" w:firstColumn="1" w:lastColumn="0" w:noHBand="0" w:noVBand="1"/>
      </w:tblPr>
      <w:tblGrid>
        <w:gridCol w:w="7670"/>
        <w:gridCol w:w="1487"/>
        <w:gridCol w:w="356"/>
      </w:tblGrid>
      <w:tr w:rsidR="00AB2532" w:rsidRPr="00AB2532" w:rsidTr="00CF30E4">
        <w:trPr>
          <w:gridAfter w:val="1"/>
          <w:wAfter w:w="356" w:type="dxa"/>
          <w:trHeight w:val="255"/>
        </w:trPr>
        <w:tc>
          <w:tcPr>
            <w:tcW w:w="7670" w:type="dxa"/>
            <w:tcBorders>
              <w:top w:val="nil"/>
              <w:left w:val="nil"/>
              <w:bottom w:val="single" w:sz="4" w:space="0" w:color="auto"/>
              <w:right w:val="nil"/>
            </w:tcBorders>
            <w:shd w:val="clear" w:color="auto" w:fill="auto"/>
            <w:noWrap/>
            <w:vAlign w:val="bottom"/>
            <w:hideMark/>
          </w:tcPr>
          <w:p w:rsidR="00AB2532" w:rsidRPr="00AB2532" w:rsidRDefault="00AB2532" w:rsidP="00AB2532">
            <w:pPr>
              <w:rPr>
                <w:b/>
                <w:bCs/>
                <w:i/>
              </w:rPr>
            </w:pPr>
            <w:r w:rsidRPr="00AB2532">
              <w:rPr>
                <w:b/>
                <w:bCs/>
                <w:i/>
              </w:rPr>
              <w:t>Tablo 1: Gidilen ülkelere göre günlük hibe miktarı</w:t>
            </w:r>
          </w:p>
        </w:tc>
        <w:tc>
          <w:tcPr>
            <w:tcW w:w="1487" w:type="dxa"/>
            <w:tcBorders>
              <w:top w:val="nil"/>
              <w:left w:val="nil"/>
              <w:bottom w:val="single" w:sz="4" w:space="0" w:color="auto"/>
              <w:right w:val="nil"/>
            </w:tcBorders>
          </w:tcPr>
          <w:p w:rsidR="00AB2532" w:rsidRPr="00AB2532" w:rsidRDefault="00AB2532" w:rsidP="00AB2532">
            <w:pPr>
              <w:rPr>
                <w:b/>
                <w:bCs/>
                <w:i/>
              </w:rPr>
            </w:pPr>
          </w:p>
        </w:tc>
      </w:tr>
      <w:tr w:rsidR="00AB2532" w:rsidRPr="00AB2532" w:rsidTr="00CF30E4">
        <w:trPr>
          <w:trHeight w:val="255"/>
        </w:trPr>
        <w:tc>
          <w:tcPr>
            <w:tcW w:w="767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B2532" w:rsidRPr="00AB2532" w:rsidRDefault="00AB2532" w:rsidP="00AB2532">
            <w:r w:rsidRPr="00AB2532">
              <w:rPr>
                <w:b/>
                <w:bCs/>
              </w:rPr>
              <w:t xml:space="preserve">1. </w:t>
            </w:r>
            <w:r w:rsidRPr="00AB2532">
              <w:tab/>
            </w:r>
          </w:p>
          <w:p w:rsidR="00AB2532" w:rsidRPr="00AB2532" w:rsidRDefault="00AB2532" w:rsidP="00AB2532">
            <w:r w:rsidRPr="00AB2532">
              <w:t>Almanya, Avusturya, Belçika, Danimarka, Finlandiya, Fransa, Hollanda, İrlanda, İtalya, İsveç, İzlanda, Lihtenştayn, Lüksemburg, Norveç</w:t>
            </w:r>
          </w:p>
        </w:tc>
        <w:tc>
          <w:tcPr>
            <w:tcW w:w="1843" w:type="dxa"/>
            <w:gridSpan w:val="2"/>
            <w:tcBorders>
              <w:top w:val="single" w:sz="4" w:space="0" w:color="auto"/>
              <w:left w:val="single" w:sz="8" w:space="0" w:color="auto"/>
              <w:bottom w:val="single" w:sz="8" w:space="0" w:color="auto"/>
              <w:right w:val="single" w:sz="8" w:space="0" w:color="auto"/>
            </w:tcBorders>
          </w:tcPr>
          <w:p w:rsidR="00AB2532" w:rsidRPr="00AB2532" w:rsidRDefault="00AB2532" w:rsidP="00AB2532">
            <w:pPr>
              <w:rPr>
                <w:b/>
                <w:bCs/>
              </w:rPr>
            </w:pPr>
            <w:r w:rsidRPr="00AB2532">
              <w:rPr>
                <w:bCs/>
              </w:rPr>
              <w:t>Günlük 171 Euro</w:t>
            </w:r>
          </w:p>
        </w:tc>
      </w:tr>
      <w:tr w:rsidR="00AB2532" w:rsidRPr="00AB2532" w:rsidTr="00CF30E4">
        <w:trPr>
          <w:trHeight w:val="255"/>
        </w:trPr>
        <w:tc>
          <w:tcPr>
            <w:tcW w:w="7670" w:type="dxa"/>
            <w:tcBorders>
              <w:top w:val="single" w:sz="8" w:space="0" w:color="auto"/>
              <w:left w:val="single" w:sz="8" w:space="0" w:color="auto"/>
              <w:bottom w:val="nil"/>
              <w:right w:val="single" w:sz="8" w:space="0" w:color="auto"/>
            </w:tcBorders>
            <w:shd w:val="clear" w:color="auto" w:fill="auto"/>
            <w:noWrap/>
            <w:vAlign w:val="bottom"/>
            <w:hideMark/>
          </w:tcPr>
          <w:p w:rsidR="00AB2532" w:rsidRPr="00AB2532" w:rsidRDefault="00AB2532" w:rsidP="00AB2532">
            <w:pPr>
              <w:rPr>
                <w:b/>
                <w:bCs/>
              </w:rPr>
            </w:pPr>
            <w:r w:rsidRPr="00AB2532">
              <w:rPr>
                <w:b/>
                <w:bCs/>
              </w:rPr>
              <w:t xml:space="preserve">2. </w:t>
            </w:r>
            <w:r w:rsidRPr="00AB2532">
              <w:t>Güney Kıbrıs Rum Yönetimi, , İspanya, Malta, Portekiz, Yunanistan, Çek Cumhuriyeti, Estonya, Letonya, Slovakya, Slovenya</w:t>
            </w:r>
          </w:p>
        </w:tc>
        <w:tc>
          <w:tcPr>
            <w:tcW w:w="1843" w:type="dxa"/>
            <w:gridSpan w:val="2"/>
            <w:tcBorders>
              <w:top w:val="single" w:sz="8" w:space="0" w:color="auto"/>
              <w:left w:val="single" w:sz="8" w:space="0" w:color="auto"/>
              <w:bottom w:val="nil"/>
              <w:right w:val="single" w:sz="8" w:space="0" w:color="auto"/>
            </w:tcBorders>
          </w:tcPr>
          <w:p w:rsidR="00AB2532" w:rsidRPr="00AB2532" w:rsidRDefault="00AB2532" w:rsidP="00AB2532">
            <w:pPr>
              <w:rPr>
                <w:b/>
                <w:bCs/>
              </w:rPr>
            </w:pPr>
            <w:r w:rsidRPr="00AB2532">
              <w:rPr>
                <w:bCs/>
              </w:rPr>
              <w:t>Günlük 153 Euro</w:t>
            </w:r>
          </w:p>
        </w:tc>
      </w:tr>
      <w:tr w:rsidR="00AB2532" w:rsidRPr="00AB2532" w:rsidTr="00CF30E4">
        <w:trPr>
          <w:trHeight w:val="255"/>
        </w:trPr>
        <w:tc>
          <w:tcPr>
            <w:tcW w:w="7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B2532" w:rsidRPr="00AB2532" w:rsidRDefault="00AB2532" w:rsidP="00AB2532">
            <w:pPr>
              <w:rPr>
                <w:b/>
                <w:bCs/>
              </w:rPr>
            </w:pPr>
            <w:r w:rsidRPr="00AB2532">
              <w:rPr>
                <w:b/>
                <w:bCs/>
              </w:rPr>
              <w:t xml:space="preserve">3. </w:t>
            </w:r>
            <w:r w:rsidRPr="00AB2532">
              <w:t>Bulgaristan, Hırvatistan, Kuzey Makedonya, , Litvanya, Macaristan, Polonya, Romanya, Sırbistan</w:t>
            </w:r>
          </w:p>
        </w:tc>
        <w:tc>
          <w:tcPr>
            <w:tcW w:w="1843" w:type="dxa"/>
            <w:gridSpan w:val="2"/>
            <w:tcBorders>
              <w:top w:val="single" w:sz="8" w:space="0" w:color="auto"/>
              <w:left w:val="single" w:sz="8" w:space="0" w:color="auto"/>
              <w:bottom w:val="single" w:sz="8" w:space="0" w:color="auto"/>
              <w:right w:val="single" w:sz="8" w:space="0" w:color="auto"/>
            </w:tcBorders>
          </w:tcPr>
          <w:p w:rsidR="00AB2532" w:rsidRPr="00AB2532" w:rsidRDefault="00AB2532" w:rsidP="00AB2532">
            <w:pPr>
              <w:rPr>
                <w:b/>
                <w:bCs/>
              </w:rPr>
            </w:pPr>
            <w:r w:rsidRPr="00AB2532">
              <w:rPr>
                <w:bCs/>
              </w:rPr>
              <w:t>Günlük 133 Euro</w:t>
            </w:r>
          </w:p>
        </w:tc>
      </w:tr>
    </w:tbl>
    <w:p w:rsidR="00AB2532" w:rsidRPr="00AB2532" w:rsidRDefault="00AB2532" w:rsidP="00AB2532">
      <w:pPr>
        <w:rPr>
          <w:b/>
          <w:i/>
        </w:rPr>
      </w:pPr>
    </w:p>
    <w:p w:rsidR="00AB2532" w:rsidRPr="00AB2532" w:rsidRDefault="00AB2532" w:rsidP="00AB2532">
      <w:pPr>
        <w:rPr>
          <w:b/>
          <w:i/>
        </w:rPr>
      </w:pPr>
      <w:r w:rsidRPr="00AB2532">
        <w:rPr>
          <w:b/>
          <w:i/>
        </w:rPr>
        <w:t>Tablo 2: Uzaklık aracı hibe dağılımı</w:t>
      </w:r>
    </w:p>
    <w:tbl>
      <w:tblPr>
        <w:tblW w:w="3781" w:type="dxa"/>
        <w:tblInd w:w="55" w:type="dxa"/>
        <w:tblCellMar>
          <w:left w:w="70" w:type="dxa"/>
          <w:right w:w="70" w:type="dxa"/>
        </w:tblCellMar>
        <w:tblLook w:val="04A0" w:firstRow="1" w:lastRow="0" w:firstColumn="1" w:lastColumn="0" w:noHBand="0" w:noVBand="1"/>
      </w:tblPr>
      <w:tblGrid>
        <w:gridCol w:w="9017"/>
      </w:tblGrid>
      <w:tr w:rsidR="00AB2532" w:rsidRPr="00AB2532" w:rsidTr="00CF30E4">
        <w:trPr>
          <w:trHeight w:val="255"/>
        </w:trPr>
        <w:tc>
          <w:tcPr>
            <w:tcW w:w="3781" w:type="dxa"/>
            <w:tcBorders>
              <w:top w:val="nil"/>
              <w:left w:val="nil"/>
              <w:bottom w:val="nil"/>
              <w:right w:val="nil"/>
            </w:tcBorders>
            <w:shd w:val="clear" w:color="auto" w:fill="auto"/>
            <w:noWrap/>
            <w:vAlign w:val="bottom"/>
          </w:tcPr>
          <w:tbl>
            <w:tblPr>
              <w:tblW w:w="8857" w:type="dxa"/>
              <w:tblCellMar>
                <w:left w:w="70" w:type="dxa"/>
                <w:right w:w="70" w:type="dxa"/>
              </w:tblCellMar>
              <w:tblLook w:val="04A0" w:firstRow="1" w:lastRow="0" w:firstColumn="1" w:lastColumn="0" w:noHBand="0" w:noVBand="1"/>
            </w:tblPr>
            <w:tblGrid>
              <w:gridCol w:w="3185"/>
              <w:gridCol w:w="3348"/>
              <w:gridCol w:w="2324"/>
            </w:tblGrid>
            <w:tr w:rsidR="00AB2532" w:rsidRPr="00AB2532" w:rsidTr="00CF30E4">
              <w:trPr>
                <w:trHeight w:val="255"/>
              </w:trPr>
              <w:tc>
                <w:tcPr>
                  <w:tcW w:w="318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B2532" w:rsidRPr="00AB2532" w:rsidRDefault="00AB2532" w:rsidP="00AB2532">
                  <w:pPr>
                    <w:rPr>
                      <w:b/>
                      <w:bCs/>
                    </w:rPr>
                  </w:pPr>
                  <w:r w:rsidRPr="00AB2532">
                    <w:rPr>
                      <w:b/>
                      <w:bCs/>
                    </w:rPr>
                    <w:t>KM</w:t>
                  </w:r>
                  <w:r w:rsidRPr="00AB2532">
                    <w:t xml:space="preserve"> </w:t>
                  </w:r>
                  <w:r w:rsidRPr="00AB2532">
                    <w:rPr>
                      <w:b/>
                      <w:bCs/>
                    </w:rPr>
                    <w:t>Seyahat Mesafesi</w:t>
                  </w:r>
                </w:p>
              </w:tc>
              <w:tc>
                <w:tcPr>
                  <w:tcW w:w="3348" w:type="dxa"/>
                  <w:tcBorders>
                    <w:top w:val="single" w:sz="8" w:space="0" w:color="auto"/>
                    <w:left w:val="nil"/>
                    <w:bottom w:val="single" w:sz="4" w:space="0" w:color="auto"/>
                    <w:right w:val="single" w:sz="8" w:space="0" w:color="auto"/>
                  </w:tcBorders>
                  <w:shd w:val="clear" w:color="auto" w:fill="auto"/>
                  <w:noWrap/>
                  <w:hideMark/>
                </w:tcPr>
                <w:p w:rsidR="00AB2532" w:rsidRPr="00AB2532" w:rsidRDefault="00AB2532" w:rsidP="00AB2532">
                  <w:pPr>
                    <w:rPr>
                      <w:b/>
                    </w:rPr>
                  </w:pPr>
                  <w:r w:rsidRPr="00AB2532">
                    <w:rPr>
                      <w:b/>
                    </w:rPr>
                    <w:t xml:space="preserve">Standart Seyahat Hibe Tutarı (Avro) </w:t>
                  </w:r>
                </w:p>
              </w:tc>
              <w:tc>
                <w:tcPr>
                  <w:tcW w:w="2324" w:type="dxa"/>
                  <w:tcBorders>
                    <w:top w:val="single" w:sz="8" w:space="0" w:color="auto"/>
                    <w:left w:val="nil"/>
                    <w:bottom w:val="single" w:sz="4" w:space="0" w:color="auto"/>
                    <w:right w:val="single" w:sz="8" w:space="0" w:color="auto"/>
                  </w:tcBorders>
                </w:tcPr>
                <w:p w:rsidR="00AB2532" w:rsidRPr="00AB2532" w:rsidRDefault="00AB2532" w:rsidP="00AB2532">
                  <w:pPr>
                    <w:rPr>
                      <w:b/>
                    </w:rPr>
                  </w:pPr>
                  <w:r w:rsidRPr="00AB2532">
                    <w:rPr>
                      <w:b/>
                    </w:rPr>
                    <w:t xml:space="preserve">Yeşil Seyahat Hibe Tutarı (Avro) </w:t>
                  </w:r>
                </w:p>
              </w:tc>
            </w:tr>
            <w:tr w:rsidR="00AB2532" w:rsidRPr="00AB2532" w:rsidTr="00CF30E4">
              <w:trPr>
                <w:trHeight w:val="255"/>
              </w:trPr>
              <w:tc>
                <w:tcPr>
                  <w:tcW w:w="3185" w:type="dxa"/>
                  <w:tcBorders>
                    <w:top w:val="nil"/>
                    <w:left w:val="single" w:sz="8" w:space="0" w:color="auto"/>
                    <w:bottom w:val="single" w:sz="4" w:space="0" w:color="auto"/>
                    <w:right w:val="single" w:sz="4" w:space="0" w:color="auto"/>
                  </w:tcBorders>
                  <w:shd w:val="clear" w:color="auto" w:fill="auto"/>
                  <w:noWrap/>
                  <w:vAlign w:val="bottom"/>
                  <w:hideMark/>
                </w:tcPr>
                <w:p w:rsidR="00AB2532" w:rsidRPr="00AB2532" w:rsidRDefault="00AB2532" w:rsidP="00AB2532">
                  <w:r w:rsidRPr="00AB2532">
                    <w:t>100-499 km arası</w:t>
                  </w:r>
                </w:p>
              </w:tc>
              <w:tc>
                <w:tcPr>
                  <w:tcW w:w="3348" w:type="dxa"/>
                  <w:tcBorders>
                    <w:top w:val="nil"/>
                    <w:left w:val="nil"/>
                    <w:bottom w:val="single" w:sz="4" w:space="0" w:color="auto"/>
                    <w:right w:val="single" w:sz="8" w:space="0" w:color="auto"/>
                  </w:tcBorders>
                  <w:shd w:val="clear" w:color="auto" w:fill="auto"/>
                  <w:noWrap/>
                  <w:hideMark/>
                </w:tcPr>
                <w:p w:rsidR="00AB2532" w:rsidRPr="00AB2532" w:rsidRDefault="00AB2532" w:rsidP="00AB2532">
                  <w:r w:rsidRPr="00AB2532">
                    <w:t xml:space="preserve">28 </w:t>
                  </w:r>
                </w:p>
              </w:tc>
              <w:tc>
                <w:tcPr>
                  <w:tcW w:w="2324" w:type="dxa"/>
                  <w:tcBorders>
                    <w:top w:val="nil"/>
                    <w:left w:val="nil"/>
                    <w:bottom w:val="single" w:sz="4" w:space="0" w:color="auto"/>
                    <w:right w:val="single" w:sz="8" w:space="0" w:color="auto"/>
                  </w:tcBorders>
                </w:tcPr>
                <w:p w:rsidR="00AB2532" w:rsidRPr="00AB2532" w:rsidRDefault="00AB2532" w:rsidP="00AB2532">
                  <w:r w:rsidRPr="00AB2532">
                    <w:t xml:space="preserve">56 </w:t>
                  </w:r>
                </w:p>
              </w:tc>
            </w:tr>
            <w:tr w:rsidR="00AB2532" w:rsidRPr="00AB2532" w:rsidTr="00CF30E4">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AB2532" w:rsidRPr="00AB2532" w:rsidRDefault="00AB2532" w:rsidP="00AB2532">
                  <w:r w:rsidRPr="00AB2532">
                    <w:t xml:space="preserve">10 ila 99 KM arasında </w:t>
                  </w:r>
                </w:p>
              </w:tc>
              <w:tc>
                <w:tcPr>
                  <w:tcW w:w="3348" w:type="dxa"/>
                  <w:tcBorders>
                    <w:top w:val="nil"/>
                    <w:left w:val="nil"/>
                    <w:bottom w:val="single" w:sz="4" w:space="0" w:color="auto"/>
                    <w:right w:val="single" w:sz="8" w:space="0" w:color="auto"/>
                  </w:tcBorders>
                  <w:shd w:val="clear" w:color="auto" w:fill="auto"/>
                  <w:noWrap/>
                  <w:hideMark/>
                </w:tcPr>
                <w:p w:rsidR="00AB2532" w:rsidRPr="00AB2532" w:rsidRDefault="00AB2532" w:rsidP="00AB2532">
                  <w:r w:rsidRPr="00AB2532">
                    <w:t xml:space="preserve">211 </w:t>
                  </w:r>
                </w:p>
              </w:tc>
              <w:tc>
                <w:tcPr>
                  <w:tcW w:w="2324" w:type="dxa"/>
                  <w:tcBorders>
                    <w:top w:val="nil"/>
                    <w:left w:val="nil"/>
                    <w:bottom w:val="single" w:sz="4" w:space="0" w:color="auto"/>
                    <w:right w:val="single" w:sz="8" w:space="0" w:color="auto"/>
                  </w:tcBorders>
                </w:tcPr>
                <w:p w:rsidR="00AB2532" w:rsidRPr="00AB2532" w:rsidRDefault="00AB2532" w:rsidP="00AB2532">
                  <w:r w:rsidRPr="00AB2532">
                    <w:t xml:space="preserve">285 </w:t>
                  </w:r>
                </w:p>
              </w:tc>
            </w:tr>
            <w:tr w:rsidR="00AB2532" w:rsidRPr="00AB2532" w:rsidTr="00CF30E4">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AB2532" w:rsidRPr="00AB2532" w:rsidRDefault="00AB2532" w:rsidP="00AB2532">
                  <w:r w:rsidRPr="00AB2532">
                    <w:t xml:space="preserve">100 ila 499 KM arasında </w:t>
                  </w:r>
                </w:p>
              </w:tc>
              <w:tc>
                <w:tcPr>
                  <w:tcW w:w="3348" w:type="dxa"/>
                  <w:tcBorders>
                    <w:top w:val="nil"/>
                    <w:left w:val="nil"/>
                    <w:bottom w:val="single" w:sz="4" w:space="0" w:color="auto"/>
                    <w:right w:val="single" w:sz="8" w:space="0" w:color="auto"/>
                  </w:tcBorders>
                  <w:shd w:val="clear" w:color="auto" w:fill="auto"/>
                  <w:noWrap/>
                  <w:hideMark/>
                </w:tcPr>
                <w:p w:rsidR="00AB2532" w:rsidRPr="00AB2532" w:rsidRDefault="00AB2532" w:rsidP="00AB2532">
                  <w:r w:rsidRPr="00AB2532">
                    <w:t xml:space="preserve">309 </w:t>
                  </w:r>
                </w:p>
              </w:tc>
              <w:tc>
                <w:tcPr>
                  <w:tcW w:w="2324" w:type="dxa"/>
                  <w:tcBorders>
                    <w:top w:val="nil"/>
                    <w:left w:val="nil"/>
                    <w:bottom w:val="single" w:sz="4" w:space="0" w:color="auto"/>
                    <w:right w:val="single" w:sz="8" w:space="0" w:color="auto"/>
                  </w:tcBorders>
                </w:tcPr>
                <w:p w:rsidR="00AB2532" w:rsidRPr="00AB2532" w:rsidRDefault="00AB2532" w:rsidP="00AB2532">
                  <w:r w:rsidRPr="00AB2532">
                    <w:t xml:space="preserve">417 </w:t>
                  </w:r>
                </w:p>
              </w:tc>
            </w:tr>
            <w:tr w:rsidR="00AB2532" w:rsidRPr="00AB2532" w:rsidTr="00CF30E4">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AB2532" w:rsidRPr="00AB2532" w:rsidRDefault="00AB2532" w:rsidP="00AB2532">
                  <w:r w:rsidRPr="00AB2532">
                    <w:t xml:space="preserve">500 ila 1999 KM arasında </w:t>
                  </w:r>
                </w:p>
              </w:tc>
              <w:tc>
                <w:tcPr>
                  <w:tcW w:w="3348" w:type="dxa"/>
                  <w:tcBorders>
                    <w:top w:val="nil"/>
                    <w:left w:val="nil"/>
                    <w:bottom w:val="single" w:sz="4" w:space="0" w:color="auto"/>
                    <w:right w:val="single" w:sz="8" w:space="0" w:color="auto"/>
                  </w:tcBorders>
                  <w:shd w:val="clear" w:color="auto" w:fill="auto"/>
                  <w:noWrap/>
                  <w:hideMark/>
                </w:tcPr>
                <w:p w:rsidR="00AB2532" w:rsidRPr="00AB2532" w:rsidRDefault="00AB2532" w:rsidP="00AB2532">
                  <w:r w:rsidRPr="00AB2532">
                    <w:t xml:space="preserve">395 </w:t>
                  </w:r>
                </w:p>
              </w:tc>
              <w:tc>
                <w:tcPr>
                  <w:tcW w:w="2324" w:type="dxa"/>
                  <w:tcBorders>
                    <w:top w:val="nil"/>
                    <w:left w:val="nil"/>
                    <w:bottom w:val="single" w:sz="4" w:space="0" w:color="auto"/>
                    <w:right w:val="single" w:sz="8" w:space="0" w:color="auto"/>
                  </w:tcBorders>
                </w:tcPr>
                <w:p w:rsidR="00AB2532" w:rsidRPr="00AB2532" w:rsidRDefault="00AB2532" w:rsidP="00AB2532">
                  <w:r w:rsidRPr="00AB2532">
                    <w:t xml:space="preserve">535 </w:t>
                  </w:r>
                </w:p>
              </w:tc>
            </w:tr>
            <w:tr w:rsidR="00AB2532" w:rsidRPr="00AB2532" w:rsidTr="00CF30E4">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AB2532" w:rsidRPr="00AB2532" w:rsidRDefault="00AB2532" w:rsidP="00AB2532">
                  <w:r w:rsidRPr="00AB2532">
                    <w:t xml:space="preserve">2000 ila 2999 KM arasında </w:t>
                  </w:r>
                </w:p>
              </w:tc>
              <w:tc>
                <w:tcPr>
                  <w:tcW w:w="3348" w:type="dxa"/>
                  <w:tcBorders>
                    <w:top w:val="nil"/>
                    <w:left w:val="nil"/>
                    <w:bottom w:val="single" w:sz="4" w:space="0" w:color="auto"/>
                    <w:right w:val="single" w:sz="8" w:space="0" w:color="auto"/>
                  </w:tcBorders>
                  <w:shd w:val="clear" w:color="auto" w:fill="auto"/>
                  <w:noWrap/>
                  <w:hideMark/>
                </w:tcPr>
                <w:p w:rsidR="00AB2532" w:rsidRPr="00AB2532" w:rsidRDefault="00AB2532" w:rsidP="00AB2532">
                  <w:r w:rsidRPr="00AB2532">
                    <w:t xml:space="preserve">580 </w:t>
                  </w:r>
                </w:p>
              </w:tc>
              <w:tc>
                <w:tcPr>
                  <w:tcW w:w="2324" w:type="dxa"/>
                  <w:tcBorders>
                    <w:top w:val="nil"/>
                    <w:left w:val="nil"/>
                    <w:bottom w:val="single" w:sz="4" w:space="0" w:color="auto"/>
                    <w:right w:val="single" w:sz="8" w:space="0" w:color="auto"/>
                  </w:tcBorders>
                </w:tcPr>
                <w:p w:rsidR="00AB2532" w:rsidRPr="00AB2532" w:rsidRDefault="00AB2532" w:rsidP="00AB2532">
                  <w:r w:rsidRPr="00AB2532">
                    <w:t xml:space="preserve">785 </w:t>
                  </w:r>
                </w:p>
              </w:tc>
            </w:tr>
            <w:tr w:rsidR="00AB2532" w:rsidRPr="00AB2532" w:rsidTr="00CF30E4">
              <w:trPr>
                <w:trHeight w:val="255"/>
              </w:trPr>
              <w:tc>
                <w:tcPr>
                  <w:tcW w:w="3185" w:type="dxa"/>
                  <w:tcBorders>
                    <w:top w:val="nil"/>
                    <w:left w:val="single" w:sz="8" w:space="0" w:color="auto"/>
                    <w:bottom w:val="single" w:sz="4" w:space="0" w:color="auto"/>
                    <w:right w:val="single" w:sz="4" w:space="0" w:color="auto"/>
                  </w:tcBorders>
                  <w:shd w:val="clear" w:color="auto" w:fill="auto"/>
                  <w:noWrap/>
                </w:tcPr>
                <w:p w:rsidR="00AB2532" w:rsidRPr="00AB2532" w:rsidRDefault="00AB2532" w:rsidP="00AB2532">
                  <w:r w:rsidRPr="00AB2532">
                    <w:t xml:space="preserve">3000 ila 3999 KM arasında </w:t>
                  </w:r>
                </w:p>
              </w:tc>
              <w:tc>
                <w:tcPr>
                  <w:tcW w:w="3348" w:type="dxa"/>
                  <w:tcBorders>
                    <w:top w:val="nil"/>
                    <w:left w:val="nil"/>
                    <w:bottom w:val="single" w:sz="4" w:space="0" w:color="auto"/>
                    <w:right w:val="single" w:sz="8" w:space="0" w:color="auto"/>
                  </w:tcBorders>
                  <w:shd w:val="clear" w:color="auto" w:fill="auto"/>
                  <w:noWrap/>
                </w:tcPr>
                <w:p w:rsidR="00AB2532" w:rsidRPr="00AB2532" w:rsidRDefault="00AB2532" w:rsidP="00AB2532">
                  <w:r w:rsidRPr="00AB2532">
                    <w:t xml:space="preserve">1188 </w:t>
                  </w:r>
                </w:p>
              </w:tc>
              <w:tc>
                <w:tcPr>
                  <w:tcW w:w="2324" w:type="dxa"/>
                  <w:tcBorders>
                    <w:top w:val="nil"/>
                    <w:left w:val="nil"/>
                    <w:bottom w:val="single" w:sz="4" w:space="0" w:color="auto"/>
                    <w:right w:val="single" w:sz="8" w:space="0" w:color="auto"/>
                  </w:tcBorders>
                </w:tcPr>
                <w:p w:rsidR="00AB2532" w:rsidRPr="00AB2532" w:rsidRDefault="00AB2532" w:rsidP="00AB2532">
                  <w:r w:rsidRPr="00AB2532">
                    <w:t xml:space="preserve">1188 </w:t>
                  </w:r>
                </w:p>
              </w:tc>
            </w:tr>
            <w:tr w:rsidR="00AB2532" w:rsidRPr="00AB2532" w:rsidTr="00CF30E4">
              <w:trPr>
                <w:trHeight w:val="270"/>
              </w:trPr>
              <w:tc>
                <w:tcPr>
                  <w:tcW w:w="3185" w:type="dxa"/>
                  <w:tcBorders>
                    <w:top w:val="nil"/>
                    <w:left w:val="single" w:sz="8" w:space="0" w:color="auto"/>
                    <w:bottom w:val="single" w:sz="8" w:space="0" w:color="auto"/>
                    <w:right w:val="single" w:sz="4" w:space="0" w:color="auto"/>
                  </w:tcBorders>
                  <w:shd w:val="clear" w:color="auto" w:fill="auto"/>
                  <w:noWrap/>
                  <w:hideMark/>
                </w:tcPr>
                <w:p w:rsidR="00AB2532" w:rsidRPr="00AB2532" w:rsidRDefault="00AB2532" w:rsidP="00AB2532">
                  <w:r w:rsidRPr="00AB2532">
                    <w:t xml:space="preserve">4000 ila 7999 KM arasında </w:t>
                  </w:r>
                </w:p>
              </w:tc>
              <w:tc>
                <w:tcPr>
                  <w:tcW w:w="3348" w:type="dxa"/>
                  <w:tcBorders>
                    <w:top w:val="nil"/>
                    <w:left w:val="nil"/>
                    <w:bottom w:val="single" w:sz="8" w:space="0" w:color="auto"/>
                    <w:right w:val="single" w:sz="8" w:space="0" w:color="auto"/>
                  </w:tcBorders>
                  <w:shd w:val="clear" w:color="auto" w:fill="auto"/>
                  <w:noWrap/>
                  <w:hideMark/>
                </w:tcPr>
                <w:p w:rsidR="00AB2532" w:rsidRPr="00AB2532" w:rsidRDefault="00AB2532" w:rsidP="00AB2532">
                  <w:r w:rsidRPr="00AB2532">
                    <w:t xml:space="preserve">1735 </w:t>
                  </w:r>
                </w:p>
              </w:tc>
              <w:tc>
                <w:tcPr>
                  <w:tcW w:w="2324" w:type="dxa"/>
                  <w:tcBorders>
                    <w:top w:val="nil"/>
                    <w:left w:val="nil"/>
                    <w:bottom w:val="single" w:sz="8" w:space="0" w:color="auto"/>
                    <w:right w:val="single" w:sz="8" w:space="0" w:color="auto"/>
                  </w:tcBorders>
                </w:tcPr>
                <w:p w:rsidR="00AB2532" w:rsidRPr="00AB2532" w:rsidRDefault="00AB2532" w:rsidP="00AB2532">
                  <w:r w:rsidRPr="00AB2532">
                    <w:t xml:space="preserve">1735 </w:t>
                  </w:r>
                </w:p>
              </w:tc>
            </w:tr>
            <w:tr w:rsidR="00AB2532" w:rsidRPr="00AB2532" w:rsidTr="00CF30E4">
              <w:trPr>
                <w:trHeight w:val="270"/>
              </w:trPr>
              <w:tc>
                <w:tcPr>
                  <w:tcW w:w="3185" w:type="dxa"/>
                  <w:tcBorders>
                    <w:top w:val="nil"/>
                    <w:left w:val="single" w:sz="8" w:space="0" w:color="auto"/>
                    <w:bottom w:val="single" w:sz="8" w:space="0" w:color="auto"/>
                    <w:right w:val="single" w:sz="4" w:space="0" w:color="auto"/>
                  </w:tcBorders>
                  <w:shd w:val="clear" w:color="auto" w:fill="auto"/>
                  <w:noWrap/>
                </w:tcPr>
                <w:p w:rsidR="00AB2532" w:rsidRPr="00AB2532" w:rsidRDefault="00AB2532" w:rsidP="00AB2532">
                  <w:r w:rsidRPr="00AB2532">
                    <w:t xml:space="preserve">8000 KM veya daha fazla </w:t>
                  </w:r>
                </w:p>
              </w:tc>
              <w:tc>
                <w:tcPr>
                  <w:tcW w:w="3348" w:type="dxa"/>
                  <w:tcBorders>
                    <w:top w:val="nil"/>
                    <w:left w:val="nil"/>
                    <w:bottom w:val="single" w:sz="8" w:space="0" w:color="auto"/>
                    <w:right w:val="single" w:sz="8" w:space="0" w:color="auto"/>
                  </w:tcBorders>
                  <w:shd w:val="clear" w:color="auto" w:fill="auto"/>
                  <w:noWrap/>
                </w:tcPr>
                <w:p w:rsidR="00AB2532" w:rsidRPr="00AB2532" w:rsidRDefault="00AB2532" w:rsidP="00AB2532">
                  <w:r w:rsidRPr="00AB2532">
                    <w:t xml:space="preserve">28 </w:t>
                  </w:r>
                </w:p>
              </w:tc>
              <w:tc>
                <w:tcPr>
                  <w:tcW w:w="2324" w:type="dxa"/>
                  <w:tcBorders>
                    <w:top w:val="nil"/>
                    <w:left w:val="nil"/>
                    <w:bottom w:val="single" w:sz="8" w:space="0" w:color="auto"/>
                    <w:right w:val="single" w:sz="8" w:space="0" w:color="auto"/>
                  </w:tcBorders>
                </w:tcPr>
                <w:p w:rsidR="00AB2532" w:rsidRPr="00AB2532" w:rsidRDefault="00AB2532" w:rsidP="00AB2532">
                  <w:r w:rsidRPr="00AB2532">
                    <w:t xml:space="preserve">56 </w:t>
                  </w:r>
                </w:p>
              </w:tc>
            </w:tr>
          </w:tbl>
          <w:p w:rsidR="00AB2532" w:rsidRPr="00AB2532" w:rsidRDefault="00AB2532" w:rsidP="00AB2532"/>
        </w:tc>
      </w:tr>
    </w:tbl>
    <w:p w:rsidR="00AB2532" w:rsidRPr="00AB2532" w:rsidRDefault="00AB2532" w:rsidP="00AB2532"/>
    <w:p w:rsidR="00AB2532" w:rsidRPr="00AB2532" w:rsidRDefault="00AB2532" w:rsidP="00AB2532">
      <w:r w:rsidRPr="00AB2532">
        <w:t>Seyahat mesafesi, Avrupa Komisyonu tarafından sağlanan aşağıdaki ‘Mesafe Hesaplayıcı’ ile hesaplanır:</w:t>
      </w:r>
    </w:p>
    <w:p w:rsidR="00AB2532" w:rsidRPr="00AB2532" w:rsidRDefault="00AB2532" w:rsidP="00AB2532">
      <w:hyperlink r:id="rId4" w:history="1">
        <w:r w:rsidRPr="00AB2532">
          <w:rPr>
            <w:rStyle w:val="Kpr"/>
          </w:rPr>
          <w:t>https://erasmus-plus.ec.europa.eu/resources-and-tools/distance-calculator</w:t>
        </w:r>
      </w:hyperlink>
      <w:r w:rsidRPr="00AB2532">
        <w:t xml:space="preserve"> </w:t>
      </w:r>
      <w:bookmarkStart w:id="0" w:name="_GoBack"/>
      <w:bookmarkEnd w:id="0"/>
    </w:p>
    <w:p w:rsidR="000B4602" w:rsidRDefault="00AB2532"/>
    <w:sectPr w:rsidR="000B4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32"/>
    <w:rsid w:val="003F5B25"/>
    <w:rsid w:val="00AB2532"/>
    <w:rsid w:val="00C80F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B517"/>
  <w15:chartTrackingRefBased/>
  <w15:docId w15:val="{E78E6511-D3FE-4903-A14B-AB956C8E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2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asmus-plus.ec.europa.eu/resources-and-tools/distance-calculato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2024-11-22T08:42:00Z</dcterms:created>
  <dcterms:modified xsi:type="dcterms:W3CDTF">2024-11-22T08:45:00Z</dcterms:modified>
</cp:coreProperties>
</file>